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80"/>
        <w:jc w:val="left"/>
      </w:pPr>
      <w:r>
        <w:rPr>
          <w:rFonts w:ascii="Calibri" w:hAnsi="Calibri"/>
          <w:b/>
          <w:color w:val="18181B"/>
          <w:sz w:val="56"/>
        </w:rPr>
        <w:t>Companion D — Diagrams</w:t>
      </w:r>
    </w:p>
    <w:p>
      <w:r>
        <w:rPr>
          <w:b/>
          <w:color w:val="4338CA"/>
          <w:sz w:val="22"/>
        </w:rPr>
        <w:t>Status: v1.0 — Reading Edition (rev. 8)</w:t>
      </w:r>
      <w:r>
        <w:rPr>
          <w:color w:val="71717A"/>
        </w:rPr>
        <w:t xml:space="preserve">    |    </w:t>
      </w:r>
      <w:r>
        <w:rPr>
          <w:color w:val="52525B"/>
          <w:sz w:val="22"/>
        </w:rPr>
        <w:t>Drafted: 2026-05-30</w:t>
      </w:r>
    </w:p>
    <w:p>
      <w:r>
        <w:rPr>
          <w:i/>
          <w:color w:val="71717A"/>
          <w:sz w:val="18"/>
        </w:rPr>
        <w:t>Source markdown: ./decision-provenance-standard-v1.0-companion-D-diagrams.md</w:t>
      </w:r>
    </w:p>
    <w:p>
      <w:pPr>
        <w:pBdr>
          <w:bottom w:val="single" w:sz="6" w:space="1" w:color="D1D5DB"/>
        </w:pBdr>
      </w:pPr>
    </w:p>
    <w:p>
      <w:pPr>
        <w:pStyle w:val="Heading1"/>
      </w:pPr>
      <w:r>
        <w:rPr>
          <w:rFonts w:ascii="Calibri" w:hAnsi="Calibri"/>
        </w:rPr>
        <w:t>Decision Provenance Standard™ v1.0 — Companion D: Diagrams</w:t>
      </w:r>
    </w:p>
    <w:p>
      <w:r>
        <w:rPr>
          <w:b/>
        </w:rPr>
        <w:t>Status</w:t>
      </w:r>
      <w:r>
        <w:rPr>
          <w:rFonts w:ascii="Calibri" w:hAnsi="Calibri"/>
        </w:rPr>
        <w:t xml:space="preserve">: Companion to the Decision Provenance Standard v1.0 (rev. 8). Explanatory, </w:t>
      </w:r>
      <w:r>
        <w:rPr>
          <w:b/>
        </w:rPr>
        <w:t>non-normative</w:t>
      </w:r>
      <w:r>
        <w:rPr>
          <w:rFonts w:ascii="Calibri" w:hAnsi="Calibri"/>
        </w:rPr>
        <w:t xml:space="preserve">. </w:t>
      </w:r>
      <w:r>
        <w:rPr>
          <w:b/>
        </w:rPr>
        <w:t>Faithful to substrate</w:t>
      </w:r>
      <w:r>
        <w:rPr>
          <w:rFonts w:ascii="Calibri" w:hAnsi="Calibri"/>
        </w:rPr>
        <w:t>: v5.1.0 (re-verify on any standard revision).</w:t>
      </w:r>
    </w:p>
    <w:p>
      <w:pPr>
        <w:spacing w:before="120" w:after="120"/>
        <w:ind w:left="340" w:right="340"/>
        <w:pBdr>
          <w:left w:val="single" w:sz="18" w:space="8" w:color="4338CA"/>
        </w:pBdr>
      </w:pPr>
      <w:r>
        <w:rPr>
          <w:b/>
          <w:color w:val="52525B"/>
        </w:rPr>
        <w:t>These figures are explanatory aids, not normative.</w:t>
      </w:r>
      <w:r>
        <w:rPr>
          <w:rFonts w:ascii="Calibri" w:hAnsi="Calibri"/>
          <w:color w:val="52525B"/>
        </w:rPr>
        <w:t xml:space="preserve"> The text of the Standard is the contract; every figure here </w:t>
      </w:r>
      <w:r>
        <w:rPr>
          <w:i/>
          <w:color w:val="52525B"/>
        </w:rPr>
        <w:t>illustrates</w:t>
      </w:r>
      <w:r>
        <w:rPr>
          <w:rFonts w:ascii="Calibri" w:hAnsi="Calibri"/>
          <w:color w:val="52525B"/>
        </w:rPr>
        <w:t xml:space="preserve"> a section of that text. Where a figure and the normative text appear to differ, the text governs. Captions and cross-references use "as shown in" / "illustrated by," never "as required by." Every state name, transition label, field name, enum value, signal name, and controlled-vocabulary chip rendered in these figures is a verbatim protected conformance token — rendered with exact case, hyphens, and underscores.</w:t>
      </w:r>
    </w:p>
    <w:p>
      <w:pPr>
        <w:pBdr>
          <w:bottom w:val="single" w:sz="6" w:space="1" w:color="D1D5DB"/>
        </w:pBdr>
      </w:pPr>
    </w:p>
    <w:p>
      <w:pPr>
        <w:pStyle w:val="Heading2"/>
      </w:pPr>
      <w:r>
        <w:rPr>
          <w:rFonts w:ascii="Calibri" w:hAnsi="Calibri"/>
        </w:rPr>
        <w:t>Notation Key</w:t>
      </w:r>
    </w:p>
    <w:p>
      <w:r>
        <w:rPr>
          <w:rFonts w:ascii="Calibri" w:hAnsi="Calibri"/>
        </w:rPr>
        <w:t>The figure set uses one consistent visual language. Learn it once; it holds across all eight figures.</w:t>
      </w:r>
    </w:p>
    <w:tbl>
      <w:tblPr>
        <w:tblW w:type="auto" w:w="0"/>
        <w:jc w:val="left"/>
        <w:tblLook w:firstColumn="1" w:firstRow="1" w:lastColumn="0" w:lastRow="0" w:noHBand="0" w:noVBand="1" w:val="04A0"/>
      </w:tblPr>
      <w:tblGrid>
        <w:gridCol w:w="4986"/>
        <w:gridCol w:w="4986"/>
      </w:tblGrid>
      <w:tr>
        <w:tc>
          <w:tcPr>
            <w:tcW w:type="dxa" w:w="4986"/>
            <w:shd w:val="clear" w:color="auto" w:fill="F9FAFB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b/>
                <w:sz w:val="20"/>
              </w:rPr>
            </w:r>
            <w:r>
              <w:rPr>
                <w:rFonts w:ascii="Calibri" w:hAnsi="Calibri"/>
                <w:b/>
                <w:sz w:val="20"/>
              </w:rPr>
              <w:t>Notation</w:t>
            </w:r>
          </w:p>
        </w:tc>
        <w:tc>
          <w:tcPr>
            <w:tcW w:type="dxa" w:w="4986"/>
            <w:shd w:val="clear" w:color="auto" w:fill="F9FAFB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b/>
                <w:sz w:val="20"/>
              </w:rPr>
            </w:r>
            <w:r>
              <w:rPr>
                <w:rFonts w:ascii="Calibri" w:hAnsi="Calibri"/>
                <w:b/>
                <w:sz w:val="20"/>
              </w:rPr>
              <w:t>Meaning</w:t>
            </w:r>
          </w:p>
        </w:tc>
      </w:tr>
      <w:tr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b/>
                <w:sz w:val="20"/>
              </w:rPr>
              <w:t>Rounded rectangle</w:t>
            </w:r>
          </w:p>
        </w:tc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A state or a step</w:t>
            </w:r>
          </w:p>
        </w:tc>
      </w:tr>
      <w:tr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b/>
                <w:sz w:val="20"/>
              </w:rPr>
              <w:t>Double border</w:t>
            </w:r>
          </w:p>
        </w:tc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 xml:space="preserve">Terminal / irreversible state (e.g., Charter </w:t>
            </w:r>
            <w:r>
              <w:rPr>
                <w:rFonts w:ascii="Consolas" w:hAnsi="Consolas"/>
                <w:sz w:val="20"/>
              </w:rPr>
              <w:t>closed</w:t>
            </w:r>
            <w:r>
              <w:rPr>
                <w:rFonts w:ascii="Calibri" w:hAnsi="Calibri"/>
                <w:sz w:val="20"/>
              </w:rPr>
              <w:t xml:space="preserve">, record </w:t>
            </w:r>
            <w:r>
              <w:rPr>
                <w:rFonts w:ascii="Consolas" w:hAnsi="Consolas"/>
                <w:sz w:val="20"/>
              </w:rPr>
              <w:t>affirmed</w:t>
            </w:r>
            <w:r>
              <w:rPr>
                <w:rFonts w:ascii="Calibri" w:hAnsi="Calibri"/>
                <w:sz w:val="20"/>
              </w:rPr>
              <w:t xml:space="preserve"> + sealed), or a binding attestation — marked by border weight, never by color alone</w:t>
            </w:r>
          </w:p>
        </w:tc>
      </w:tr>
      <w:tr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b/>
                <w:sz w:val="20"/>
              </w:rPr>
              <w:t>Solid arrow</w:t>
            </w:r>
          </w:p>
        </w:tc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A transition</w:t>
            </w:r>
          </w:p>
        </w:tc>
      </w:tr>
      <w:tr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b/>
                <w:sz w:val="20"/>
              </w:rPr>
              <w:t>Dashed arrow</w:t>
            </w:r>
          </w:p>
        </w:tc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A conditional / edge-case transition, or a one-way pointer</w:t>
            </w:r>
          </w:p>
        </w:tc>
      </w:tr>
      <w:tr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b/>
                <w:sz w:val="20"/>
              </w:rPr>
              <w:t>Accent (a single desaturated blue, plus heavier stroke)</w:t>
            </w:r>
          </w:p>
        </w:tc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The one load-bearing element of a figure — comprehension does not depend on the color; the heavier stroke carries the same signal in grayscale</w:t>
            </w:r>
          </w:p>
        </w:tc>
      </w:tr>
      <w:tr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b/>
                <w:sz w:val="20"/>
              </w:rPr>
              <w:t>Monospace text</w:t>
            </w:r>
          </w:p>
        </w:tc>
        <w:tc>
          <w:tcPr>
            <w:tcW w:type="dxa" w:w="4986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 xml:space="preserve">A literal field name, enum value, or signal token (e.g., </w:t>
            </w:r>
            <w:r>
              <w:rPr>
                <w:rFonts w:ascii="Consolas" w:hAnsi="Consolas"/>
                <w:sz w:val="20"/>
              </w:rPr>
              <w:t>mode_declaration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rFonts w:ascii="Consolas" w:hAnsi="Consolas"/>
                <w:sz w:val="20"/>
              </w:rPr>
              <w:t>dispatch_mode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rFonts w:ascii="Consolas" w:hAnsi="Consolas"/>
                <w:sz w:val="20"/>
              </w:rPr>
              <w:t>affirmed</w:t>
            </w:r>
            <w:r>
              <w:rPr>
                <w:rFonts w:ascii="Calibri" w:hAnsi="Calibri"/>
                <w:sz w:val="20"/>
              </w:rPr>
              <w:t xml:space="preserve">, </w:t>
            </w:r>
            <w:r>
              <w:rPr>
                <w:rFonts w:ascii="Consolas" w:hAnsi="Consolas"/>
                <w:sz w:val="20"/>
              </w:rPr>
              <w:t>seal_hash</w:t>
            </w:r>
            <w:r>
              <w:rPr>
                <w:rFonts w:ascii="Calibri" w:hAnsi="Calibri"/>
                <w:sz w:val="20"/>
              </w:rPr>
              <w:t>)</w:t>
            </w:r>
          </w:p>
        </w:tc>
      </w:tr>
    </w:tbl>
    <w:p/>
    <w:p>
      <w:r>
        <w:rPr>
          <w:rFonts w:ascii="Calibri" w:hAnsi="Calibri"/>
        </w:rPr>
        <w:t>Color is never the only signal. Every distinction is carried by shape, border style, stroke weight, or label, so the figures remain fully legible in grayscale and to screen-reader and print-only readers.</w:t>
      </w:r>
    </w:p>
    <w:p>
      <w:pPr>
        <w:pBdr>
          <w:bottom w:val="single" w:sz="6" w:space="1" w:color="D1D5DB"/>
        </w:pBdr>
      </w:pPr>
    </w:p>
    <w:p>
      <w:pPr>
        <w:pStyle w:val="Heading2"/>
      </w:pPr>
      <w:r>
        <w:rPr>
          <w:rFonts w:ascii="Calibri" w:hAnsi="Calibri"/>
        </w:rPr>
        <w:t>List of Figures</w:t>
      </w:r>
    </w:p>
    <w:tbl>
      <w:tblPr>
        <w:tblW w:type="auto" w:w="0"/>
        <w:jc w:val="left"/>
        <w:tblLook w:firstColumn="1" w:firstRow="1" w:lastColumn="0" w:lastRow="0" w:noHBand="0" w:noVBand="1" w:val="04A0"/>
      </w:tblPr>
      <w:tblGrid>
        <w:gridCol w:w="3324"/>
        <w:gridCol w:w="3324"/>
        <w:gridCol w:w="3324"/>
      </w:tblGrid>
      <w:tr>
        <w:tc>
          <w:tcPr>
            <w:tcW w:type="dxa" w:w="3324"/>
            <w:shd w:val="clear" w:color="auto" w:fill="F9FAFB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b/>
                <w:sz w:val="20"/>
              </w:rPr>
            </w:r>
            <w:r>
              <w:rPr>
                <w:rFonts w:ascii="Calibri" w:hAnsi="Calibri"/>
                <w:b/>
                <w:sz w:val="20"/>
              </w:rPr>
              <w:t>Figure</w:t>
            </w:r>
          </w:p>
        </w:tc>
        <w:tc>
          <w:tcPr>
            <w:tcW w:type="dxa" w:w="3324"/>
            <w:shd w:val="clear" w:color="auto" w:fill="F9FAFB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b/>
                <w:sz w:val="20"/>
              </w:rPr>
            </w: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type="dxa" w:w="3324"/>
            <w:shd w:val="clear" w:color="auto" w:fill="F9FAFB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b/>
                <w:sz w:val="20"/>
              </w:rPr>
            </w:r>
            <w:r>
              <w:rPr>
                <w:rFonts w:ascii="Calibri" w:hAnsi="Calibri"/>
                <w:b/>
                <w:sz w:val="20"/>
              </w:rPr>
              <w:t>Illustrates</w:t>
            </w:r>
          </w:p>
        </w:tc>
      </w:tr>
      <w:tr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Figure 3-1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Charter Lifecycle State Machine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§3.3</w:t>
            </w:r>
          </w:p>
        </w:tc>
      </w:tr>
      <w:tr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Figure 3-2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Mode Dispatch Grammar and the Embedded-Mode-2 Edge Case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§3.4 / §4.4 / §4.7</w:t>
            </w:r>
          </w:p>
        </w:tc>
      </w:tr>
      <w:tr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Figure 4-1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Article 50 Disclosure-Metadata Flow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§4.6.2 / §4.6.3</w:t>
            </w:r>
          </w:p>
        </w:tc>
      </w:tr>
      <w:tr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Figure 4-2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Mode-Drift Four-Layer Composed Mitigation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§4.8.1</w:t>
            </w:r>
          </w:p>
        </w:tc>
      </w:tr>
      <w:tr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Figure 4-3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Emission-Cadence by Semantic Class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§4.8.2</w:t>
            </w:r>
          </w:p>
        </w:tc>
      </w:tr>
      <w:tr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Figure 5-1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Decision-Record State Machine: Two Distinct State Families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§5.1 / §6.2</w:t>
            </w:r>
          </w:p>
        </w:tc>
      </w:tr>
      <w:tr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Figure 6-1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Artifact-Set Relationship Map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§3 / §5 / §6 / §7 (orientation)</w:t>
            </w:r>
          </w:p>
        </w:tc>
      </w:tr>
      <w:tr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Figure 7-1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The Three Conformance Levels: Cumulative Criteria</w:t>
            </w:r>
          </w:p>
        </w:tc>
        <w:tc>
          <w:tcPr>
            <w:tcW w:type="dxa" w:w="3324"/>
            <w:tcBorders>
              <w:top w:val="single" w:sz="4" w:color="D1D5DB"/>
              <w:left w:val="single" w:sz="4" w:color="D1D5DB"/>
              <w:bottom w:val="single" w:sz="4" w:color="D1D5DB"/>
              <w:right w:val="single" w:sz="4" w:color="D1D5DB"/>
            </w:tcBorders>
          </w:tcPr>
          <w:p>
            <w:r>
              <w:rPr>
                <w:sz w:val="20"/>
              </w:rPr>
            </w:r>
            <w:r>
              <w:rPr>
                <w:rFonts w:ascii="Calibri" w:hAnsi="Calibri"/>
                <w:sz w:val="20"/>
              </w:rPr>
              <w:t>§7.2 / §7.3 / §7.4</w:t>
            </w:r>
          </w:p>
        </w:tc>
      </w:tr>
    </w:tbl>
    <w:p/>
    <w:p>
      <w:pPr>
        <w:pBdr>
          <w:bottom w:val="single" w:sz="6" w:space="1" w:color="D1D5DB"/>
        </w:pBdr>
      </w:pPr>
    </w:p>
    <w:p>
      <w:pPr>
        <w:pStyle w:val="Heading3"/>
      </w:pPr>
      <w:r>
        <w:rPr>
          <w:rFonts w:ascii="Calibri" w:hAnsi="Calibri"/>
        </w:rPr>
        <w:t>Figure 3-1 — Charter Lifecycle State Machine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768619" cy="7772400"/>
            <wp:docPr descr="Charter lifecycle state machine: a forward-only sequence open, mode-declared, fields-required, fields-completed, closed, with a dashed off-ramp from closed to a new Charter carrying prior_charter_ref."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1-charter-lifecycl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8619" cy="777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3-1 — Charter Lifecycle State Machine.</w:t>
      </w:r>
      <w:r>
        <w:rPr>
          <w:rFonts w:ascii="Calibri" w:hAnsi="Calibri"/>
        </w:rPr>
        <w:t xml:space="preserve"> A forward-only state machine in which each transition is gated by a named set of Charter fields; </w:t>
      </w:r>
      <w:r>
        <w:rPr>
          <w:rFonts w:ascii="Consolas" w:hAnsi="Consolas"/>
          <w:sz w:val="20"/>
        </w:rPr>
        <w:t>closed</w:t>
      </w:r>
      <w:r>
        <w:rPr>
          <w:rFonts w:ascii="Calibri" w:hAnsi="Calibri"/>
        </w:rPr>
        <w:t xml:space="preserve"> is terminal and reactivation creates a new Charter.</w:t>
      </w:r>
    </w:p>
    <w:p>
      <w:r>
        <w:rPr>
          <w:b/>
        </w:rPr>
        <w:t>Full description.</w:t>
      </w:r>
      <w:r>
        <w:rPr>
          <w:rFonts w:ascii="Calibri" w:hAnsi="Calibri"/>
        </w:rPr>
        <w:t xml:space="preserve"> The Charter lifecycle is a forward-only state machine with five states: </w:t>
      </w:r>
      <w:r>
        <w:rPr>
          <w:rFonts w:ascii="Consolas" w:hAnsi="Consolas"/>
          <w:sz w:val="20"/>
        </w:rPr>
        <w:t>open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mode-declared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fields-required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fields-completed</w:t>
      </w:r>
      <w:r>
        <w:rPr>
          <w:rFonts w:ascii="Calibri" w:hAnsi="Calibri"/>
        </w:rPr>
        <w:t xml:space="preserve">, and </w:t>
      </w:r>
      <w:r>
        <w:rPr>
          <w:rFonts w:ascii="Consolas" w:hAnsi="Consolas"/>
          <w:sz w:val="20"/>
        </w:rPr>
        <w:t>closed</w:t>
      </w:r>
      <w:r>
        <w:rPr>
          <w:rFonts w:ascii="Calibri" w:hAnsi="Calibri"/>
        </w:rPr>
        <w:t xml:space="preserve">. Each transition requires a named set of Charter fields to be populated before it can be crossed: creation into </w:t>
      </w:r>
      <w:r>
        <w:rPr>
          <w:rFonts w:ascii="Consolas" w:hAnsi="Consolas"/>
          <w:sz w:val="20"/>
        </w:rPr>
        <w:t>open</w:t>
      </w:r>
      <w:r>
        <w:rPr>
          <w:rFonts w:ascii="Calibri" w:hAnsi="Calibri"/>
        </w:rPr>
        <w:t xml:space="preserve"> requires </w:t>
      </w:r>
      <w:r>
        <w:rPr>
          <w:rFonts w:ascii="Consolas" w:hAnsi="Consolas"/>
          <w:sz w:val="20"/>
        </w:rPr>
        <w:t>charter_id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charter_name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decision_class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accountable_owner</w:t>
      </w:r>
      <w:r>
        <w:rPr>
          <w:rFonts w:ascii="Calibri" w:hAnsi="Calibri"/>
        </w:rPr>
        <w:t xml:space="preserve">, and </w:t>
      </w:r>
      <w:r>
        <w:rPr>
          <w:rFonts w:ascii="Consolas" w:hAnsi="Consolas"/>
          <w:sz w:val="20"/>
        </w:rPr>
        <w:t>created_at</w:t>
      </w:r>
      <w:r>
        <w:rPr>
          <w:rFonts w:ascii="Calibri" w:hAnsi="Calibri"/>
        </w:rPr>
        <w:t xml:space="preserve">; </w:t>
      </w:r>
      <w:r>
        <w:rPr>
          <w:rFonts w:ascii="Consolas" w:hAnsi="Consolas"/>
          <w:sz w:val="20"/>
        </w:rPr>
        <w:t>open</w:t>
      </w:r>
      <w:r>
        <w:rPr>
          <w:rFonts w:ascii="Calibri" w:hAnsi="Calibri"/>
        </w:rPr>
        <w:t xml:space="preserve"> to </w:t>
      </w:r>
      <w:r>
        <w:rPr>
          <w:rFonts w:ascii="Consolas" w:hAnsi="Consolas"/>
          <w:sz w:val="20"/>
        </w:rPr>
        <w:t>mode-declared</w:t>
      </w:r>
      <w:r>
        <w:rPr>
          <w:rFonts w:ascii="Calibri" w:hAnsi="Calibri"/>
        </w:rPr>
        <w:t xml:space="preserve"> requires </w:t>
      </w:r>
      <w:r>
        <w:rPr>
          <w:rFonts w:ascii="Consolas" w:hAnsi="Consolas"/>
          <w:sz w:val="20"/>
        </w:rPr>
        <w:t>mode_declaration</w:t>
      </w:r>
      <w:r>
        <w:rPr>
          <w:rFonts w:ascii="Calibri" w:hAnsi="Calibri"/>
        </w:rPr>
        <w:t xml:space="preserve"> populated with one of </w:t>
      </w:r>
      <w:r>
        <w:rPr>
          <w:rFonts w:ascii="Consolas" w:hAnsi="Consolas"/>
          <w:sz w:val="20"/>
        </w:rPr>
        <w:t>mode-1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mode-2</w:t>
      </w:r>
      <w:r>
        <w:rPr>
          <w:rFonts w:ascii="Calibri" w:hAnsi="Calibri"/>
        </w:rPr>
        <w:t xml:space="preserve">, or </w:t>
      </w:r>
      <w:r>
        <w:rPr>
          <w:rFonts w:ascii="Consolas" w:hAnsi="Consolas"/>
          <w:sz w:val="20"/>
        </w:rPr>
        <w:t>mode-1-with-embedded-mode-2-summary</w:t>
      </w:r>
      <w:r>
        <w:rPr>
          <w:rFonts w:ascii="Calibri" w:hAnsi="Calibri"/>
        </w:rPr>
        <w:t xml:space="preserve">; </w:t>
      </w:r>
      <w:r>
        <w:rPr>
          <w:rFonts w:ascii="Consolas" w:hAnsi="Consolas"/>
          <w:sz w:val="20"/>
        </w:rPr>
        <w:t>mode-declared</w:t>
      </w:r>
      <w:r>
        <w:rPr>
          <w:rFonts w:ascii="Calibri" w:hAnsi="Calibri"/>
        </w:rPr>
        <w:t xml:space="preserve"> to </w:t>
      </w:r>
      <w:r>
        <w:rPr>
          <w:rFonts w:ascii="Consolas" w:hAnsi="Consolas"/>
          <w:sz w:val="20"/>
        </w:rPr>
        <w:t>fields-required</w:t>
      </w:r>
      <w:r>
        <w:rPr>
          <w:rFonts w:ascii="Calibri" w:hAnsi="Calibri"/>
        </w:rPr>
        <w:t xml:space="preserve"> requires </w:t>
      </w:r>
      <w:r>
        <w:rPr>
          <w:rFonts w:ascii="Consolas" w:hAnsi="Consolas"/>
          <w:sz w:val="20"/>
        </w:rPr>
        <w:t>inside_decisions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outside_decisions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cadence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record_location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re_decision_triggers</w:t>
      </w:r>
      <w:r>
        <w:rPr>
          <w:rFonts w:ascii="Calibri" w:hAnsi="Calibri"/>
        </w:rPr>
        <w:t xml:space="preserve"> (at least one outcome and one market trigger), and </w:t>
      </w:r>
      <w:r>
        <w:rPr>
          <w:rFonts w:ascii="Consolas" w:hAnsi="Consolas"/>
          <w:sz w:val="20"/>
        </w:rPr>
        <w:t>escalation_rule</w:t>
      </w:r>
      <w:r>
        <w:rPr>
          <w:rFonts w:ascii="Calibri" w:hAnsi="Calibri"/>
        </w:rPr>
        <w:t xml:space="preserve">; </w:t>
      </w:r>
      <w:r>
        <w:rPr>
          <w:rFonts w:ascii="Consolas" w:hAnsi="Consolas"/>
          <w:sz w:val="20"/>
        </w:rPr>
        <w:t>fields-required</w:t>
      </w:r>
      <w:r>
        <w:rPr>
          <w:rFonts w:ascii="Calibri" w:hAnsi="Calibri"/>
        </w:rPr>
        <w:t xml:space="preserve"> to </w:t>
      </w:r>
      <w:r>
        <w:rPr>
          <w:rFonts w:ascii="Consolas" w:hAnsi="Consolas"/>
          <w:sz w:val="20"/>
        </w:rPr>
        <w:t>fields-completed</w:t>
      </w:r>
      <w:r>
        <w:rPr>
          <w:rFonts w:ascii="Calibri" w:hAnsi="Calibri"/>
        </w:rPr>
        <w:t xml:space="preserve"> requires </w:t>
      </w:r>
      <w:r>
        <w:rPr>
          <w:rFonts w:ascii="Consolas" w:hAnsi="Consolas"/>
          <w:sz w:val="20"/>
        </w:rPr>
        <w:t>schedule_of_records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conformance_level_declared</w:t>
      </w:r>
      <w:r>
        <w:rPr>
          <w:rFonts w:ascii="Calibri" w:hAnsi="Calibri"/>
        </w:rPr>
        <w:t xml:space="preserve">, a </w:t>
      </w:r>
      <w:r>
        <w:rPr>
          <w:rFonts w:ascii="Consolas" w:hAnsi="Consolas"/>
          <w:sz w:val="20"/>
        </w:rPr>
        <w:t>peer_reviewer_pool</w:t>
      </w:r>
      <w:r>
        <w:rPr>
          <w:rFonts w:ascii="Calibri" w:hAnsi="Calibri"/>
        </w:rPr>
        <w:t xml:space="preserve"> of at least three named reviewers, and a conditional </w:t>
      </w:r>
      <w:r>
        <w:rPr>
          <w:rFonts w:ascii="Consolas" w:hAnsi="Consolas"/>
          <w:sz w:val="20"/>
        </w:rPr>
        <w:t>disclosure_metadata_pointer</w:t>
      </w:r>
      <w:r>
        <w:rPr>
          <w:rFonts w:ascii="Calibri" w:hAnsi="Calibri"/>
        </w:rPr>
        <w:t xml:space="preserve"> when the mode is </w:t>
      </w:r>
      <w:r>
        <w:rPr>
          <w:rFonts w:ascii="Consolas" w:hAnsi="Consolas"/>
          <w:sz w:val="20"/>
        </w:rPr>
        <w:t>mode-2</w:t>
      </w:r>
      <w:r>
        <w:rPr>
          <w:rFonts w:ascii="Calibri" w:hAnsi="Calibri"/>
        </w:rPr>
        <w:t xml:space="preserve"> or </w:t>
      </w:r>
      <w:r>
        <w:rPr>
          <w:rFonts w:ascii="Consolas" w:hAnsi="Consolas"/>
          <w:sz w:val="20"/>
        </w:rPr>
        <w:t>mode-1-with-embedded-mode-2-summary</w:t>
      </w:r>
      <w:r>
        <w:rPr>
          <w:rFonts w:ascii="Calibri" w:hAnsi="Calibri"/>
        </w:rPr>
        <w:t xml:space="preserve">; </w:t>
      </w:r>
      <w:r>
        <w:rPr>
          <w:rFonts w:ascii="Consolas" w:hAnsi="Consolas"/>
          <w:sz w:val="20"/>
        </w:rPr>
        <w:t>fields-completed</w:t>
      </w:r>
      <w:r>
        <w:rPr>
          <w:rFonts w:ascii="Calibri" w:hAnsi="Calibri"/>
        </w:rPr>
        <w:t xml:space="preserve"> to </w:t>
      </w:r>
      <w:r>
        <w:rPr>
          <w:rFonts w:ascii="Consolas" w:hAnsi="Consolas"/>
          <w:sz w:val="20"/>
        </w:rPr>
        <w:t>closed</w:t>
      </w:r>
      <w:r>
        <w:rPr>
          <w:rFonts w:ascii="Calibri" w:hAnsi="Calibri"/>
        </w:rPr>
        <w:t xml:space="preserve"> requires </w:t>
      </w:r>
      <w:r>
        <w:rPr>
          <w:rFonts w:ascii="Consolas" w:hAnsi="Consolas"/>
          <w:sz w:val="20"/>
        </w:rPr>
        <w:t>closed_at</w:t>
      </w:r>
      <w:r>
        <w:rPr>
          <w:rFonts w:ascii="Calibri" w:hAnsi="Calibri"/>
        </w:rPr>
        <w:t xml:space="preserve"> to be set on subsumption, dissolution, or explicit retirement. The </w:t>
      </w:r>
      <w:r>
        <w:rPr>
          <w:rFonts w:ascii="Consolas" w:hAnsi="Consolas"/>
          <w:sz w:val="20"/>
        </w:rPr>
        <w:t>closed</w:t>
      </w:r>
      <w:r>
        <w:rPr>
          <w:rFonts w:ascii="Calibri" w:hAnsi="Calibri"/>
        </w:rPr>
        <w:t xml:space="preserve"> state is terminal; a closed Charter cannot return to a prior state. Reactivation creates a new Charter carrying a </w:t>
      </w:r>
      <w:r>
        <w:rPr>
          <w:rFonts w:ascii="Consolas" w:hAnsi="Consolas"/>
          <w:sz w:val="20"/>
        </w:rPr>
        <w:t>prior_charter_ref</w:t>
      </w:r>
      <w:r>
        <w:rPr>
          <w:rFonts w:ascii="Calibri" w:hAnsi="Calibri"/>
        </w:rPr>
        <w:t xml:space="preserve"> back-pointer, shown as a dashed off-ramp from </w:t>
      </w:r>
      <w:r>
        <w:rPr>
          <w:rFonts w:ascii="Consolas" w:hAnsi="Consolas"/>
          <w:sz w:val="20"/>
        </w:rPr>
        <w:t>closed</w:t>
      </w:r>
      <w:r>
        <w:rPr>
          <w:rFonts w:ascii="Calibri" w:hAnsi="Calibri"/>
        </w:rPr>
        <w:t xml:space="preserve"> to a separate "new Charter v2" node, not a back-edge into any prior state. The </w:t>
      </w:r>
      <w:r>
        <w:rPr>
          <w:rFonts w:ascii="Consolas" w:hAnsi="Consolas"/>
          <w:sz w:val="20"/>
        </w:rPr>
        <w:t>review-required</w:t>
      </w:r>
      <w:r>
        <w:rPr>
          <w:rFonts w:ascii="Calibri" w:hAnsi="Calibri"/>
        </w:rPr>
        <w:t xml:space="preserve"> interrupt is deliberately absent here: it is a record-level state, not a Charter-level state (see Figure 5-1).</w:t>
      </w:r>
    </w:p>
    <w:p>
      <w:r>
        <w:rPr>
          <w:i/>
        </w:rPr>
        <w:t>Illustrates §3.3.</w:t>
      </w:r>
    </w:p>
    <w:p>
      <w:pPr>
        <w:pBdr>
          <w:bottom w:val="single" w:sz="6" w:space="1" w:color="D1D5DB"/>
        </w:pBdr>
      </w:pPr>
    </w:p>
    <w:p>
      <w:pPr>
        <w:pStyle w:val="Heading3"/>
      </w:pPr>
      <w:r>
        <w:rPr>
          <w:rFonts w:ascii="Calibri" w:hAnsi="Calibri"/>
        </w:rPr>
        <w:t>Figure 3-2 — Mode Dispatch Grammar and the Embedded-Mode-2 Edge Case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5913276"/>
            <wp:docPr descr="Mode dispatch grammar: two aligned altitude fields mode_declaration and dispatch_mode feeding an exhaustive three-value enumeration, with an inset showing content-level authorship for the embedded-Mode-2 edge case."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-mode-dispatch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32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3-2 — Mode Dispatch Grammar and the Embedded-Mode-2 Edge Case.</w:t>
      </w:r>
      <w:r>
        <w:rPr>
          <w:rFonts w:ascii="Calibri" w:hAnsi="Calibri"/>
        </w:rPr>
        <w:t xml:space="preserve"> Mode is declared at two altitudes that align one-to-one, drawn from an exhaustive three-value enumeration; the third value handles content-level embedded authorship.</w:t>
      </w:r>
    </w:p>
    <w:p>
      <w:r>
        <w:rPr>
          <w:b/>
        </w:rPr>
        <w:t>Full description.</w:t>
      </w:r>
      <w:r>
        <w:rPr>
          <w:rFonts w:ascii="Calibri" w:hAnsi="Calibri"/>
        </w:rPr>
        <w:t xml:space="preserve"> Mode is declared at two altitudes that align one-to-one: the Charter field </w:t>
      </w:r>
      <w:r>
        <w:rPr>
          <w:rFonts w:ascii="Consolas" w:hAnsi="Consolas"/>
          <w:sz w:val="20"/>
        </w:rPr>
        <w:t>mode_declaration</w:t>
      </w:r>
      <w:r>
        <w:rPr>
          <w:rFonts w:ascii="Calibri" w:hAnsi="Calibri"/>
        </w:rPr>
        <w:t xml:space="preserve"> and the decision-record field </w:t>
      </w:r>
      <w:r>
        <w:rPr>
          <w:rFonts w:ascii="Consolas" w:hAnsi="Consolas"/>
          <w:sz w:val="20"/>
        </w:rPr>
        <w:t>dispatch_mode</w:t>
      </w:r>
      <w:r>
        <w:rPr>
          <w:rFonts w:ascii="Calibri" w:hAnsi="Calibri"/>
        </w:rPr>
        <w:t xml:space="preserve">. The enumeration is exhaustive with exactly three values: </w:t>
      </w:r>
      <w:r>
        <w:rPr>
          <w:rFonts w:ascii="Consolas" w:hAnsi="Consolas"/>
          <w:sz w:val="20"/>
        </w:rPr>
        <w:t>mode-1</w:t>
      </w:r>
      <w:r>
        <w:rPr>
          <w:rFonts w:ascii="Calibri" w:hAnsi="Calibri"/>
        </w:rPr>
        <w:t xml:space="preserve"> (Mode 1 — Human-Led, AI-Enforced), </w:t>
      </w:r>
      <w:r>
        <w:rPr>
          <w:rFonts w:ascii="Consolas" w:hAnsi="Consolas"/>
          <w:sz w:val="20"/>
        </w:rPr>
        <w:t>mode-2</w:t>
      </w:r>
      <w:r>
        <w:rPr>
          <w:rFonts w:ascii="Calibri" w:hAnsi="Calibri"/>
        </w:rPr>
        <w:t xml:space="preserve"> (Mode 2 — AI-Led, Human-Reviewed), and </w:t>
      </w:r>
      <w:r>
        <w:rPr>
          <w:rFonts w:ascii="Consolas" w:hAnsi="Consolas"/>
          <w:sz w:val="20"/>
        </w:rPr>
        <w:t>mode-1-with-embedded-mode-2-summary</w:t>
      </w:r>
      <w:r>
        <w:rPr>
          <w:rFonts w:ascii="Calibri" w:hAnsi="Calibri"/>
        </w:rPr>
        <w:t xml:space="preserve"> (Mode 1 with the embedded-Mode-2-summary edge case). A </w:t>
      </w:r>
      <w:r>
        <w:rPr>
          <w:rFonts w:ascii="Consolas" w:hAnsi="Consolas"/>
          <w:sz w:val="20"/>
        </w:rPr>
        <w:t>mode-2</w:t>
      </w:r>
      <w:r>
        <w:rPr>
          <w:rFonts w:ascii="Calibri" w:hAnsi="Calibri"/>
        </w:rPr>
        <w:t xml:space="preserve"> record triggers the Article 50 disclosure flow (Figure 4-1). The third value handles the edge case where a human-authored </w:t>
      </w:r>
      <w:r>
        <w:rPr>
          <w:rFonts w:ascii="Consolas" w:hAnsi="Consolas"/>
          <w:sz w:val="20"/>
        </w:rPr>
        <w:t>mode-1</w:t>
      </w:r>
      <w:r>
        <w:rPr>
          <w:rFonts w:ascii="Calibri" w:hAnsi="Calibri"/>
        </w:rPr>
        <w:t xml:space="preserve"> container holds an AI-authored embedded span; authorship is judged at the content level, not the container level, so that embedded span carries its own disclosure block at the embed point with </w:t>
      </w:r>
      <w:r>
        <w:rPr>
          <w:rFonts w:ascii="Consolas" w:hAnsi="Consolas"/>
          <w:sz w:val="20"/>
        </w:rPr>
        <w:t>mode_1_edge_case_flag</w:t>
      </w:r>
      <w:r>
        <w:rPr>
          <w:rFonts w:ascii="Calibri" w:hAnsi="Calibri"/>
        </w:rPr>
        <w:t xml:space="preserve"> set to </w:t>
      </w:r>
      <w:r>
        <w:rPr>
          <w:rFonts w:ascii="Consolas" w:hAnsi="Consolas"/>
          <w:sz w:val="20"/>
        </w:rPr>
        <w:t>true</w:t>
      </w:r>
      <w:r>
        <w:rPr>
          <w:rFonts w:ascii="Calibri" w:hAnsi="Calibri"/>
        </w:rPr>
        <w:t xml:space="preserve">. No fourth mode exists; adding one routes through the §4.10 amendment process, never a runtime workaround. The three token families are distinct and rendered verbatim: </w:t>
      </w:r>
      <w:r>
        <w:rPr>
          <w:rFonts w:ascii="Consolas" w:hAnsi="Consolas"/>
          <w:sz w:val="20"/>
        </w:rPr>
        <w:t>mode-declared</w:t>
      </w:r>
      <w:r>
        <w:rPr>
          <w:rFonts w:ascii="Calibri" w:hAnsi="Calibri"/>
        </w:rPr>
        <w:t xml:space="preserve"> is a Charter state, </w:t>
      </w:r>
      <w:r>
        <w:rPr>
          <w:rFonts w:ascii="Consolas" w:hAnsi="Consolas"/>
          <w:sz w:val="20"/>
        </w:rPr>
        <w:t>mode_declaration</w:t>
      </w:r>
      <w:r>
        <w:rPr>
          <w:rFonts w:ascii="Calibri" w:hAnsi="Calibri"/>
        </w:rPr>
        <w:t xml:space="preserve"> and </w:t>
      </w:r>
      <w:r>
        <w:rPr>
          <w:rFonts w:ascii="Consolas" w:hAnsi="Consolas"/>
          <w:sz w:val="20"/>
        </w:rPr>
        <w:t>dispatch_mode</w:t>
      </w:r>
      <w:r>
        <w:rPr>
          <w:rFonts w:ascii="Calibri" w:hAnsi="Calibri"/>
        </w:rPr>
        <w:t xml:space="preserve"> are fields, and </w:t>
      </w:r>
      <w:r>
        <w:rPr>
          <w:rFonts w:ascii="Consolas" w:hAnsi="Consolas"/>
          <w:sz w:val="20"/>
        </w:rPr>
        <w:t>mode-1</w:t>
      </w:r>
      <w:r>
        <w:rPr>
          <w:rFonts w:ascii="Calibri" w:hAnsi="Calibri"/>
        </w:rPr>
        <w:t xml:space="preserve"> / </w:t>
      </w:r>
      <w:r>
        <w:rPr>
          <w:rFonts w:ascii="Consolas" w:hAnsi="Consolas"/>
          <w:sz w:val="20"/>
        </w:rPr>
        <w:t>mode-2</w:t>
      </w:r>
      <w:r>
        <w:rPr>
          <w:rFonts w:ascii="Calibri" w:hAnsi="Calibri"/>
        </w:rPr>
        <w:t xml:space="preserve"> / </w:t>
      </w:r>
      <w:r>
        <w:rPr>
          <w:rFonts w:ascii="Consolas" w:hAnsi="Consolas"/>
          <w:sz w:val="20"/>
        </w:rPr>
        <w:t>mode-1-with-embedded-mode-2-summary</w:t>
      </w:r>
      <w:r>
        <w:rPr>
          <w:rFonts w:ascii="Calibri" w:hAnsi="Calibri"/>
        </w:rPr>
        <w:t xml:space="preserve"> are enum values.</w:t>
      </w:r>
    </w:p>
    <w:p>
      <w:r>
        <w:rPr>
          <w:i/>
        </w:rPr>
        <w:t>Illustrates §3.4, §4.4, §4.7.</w:t>
      </w:r>
    </w:p>
    <w:p>
      <w:pPr>
        <w:pBdr>
          <w:bottom w:val="single" w:sz="6" w:space="1" w:color="D1D5DB"/>
        </w:pBdr>
      </w:pPr>
    </w:p>
    <w:p>
      <w:pPr>
        <w:pStyle w:val="Heading3"/>
      </w:pPr>
      <w:r>
        <w:rPr>
          <w:rFonts w:ascii="Calibri" w:hAnsi="Calibri"/>
        </w:rPr>
        <w:t>Figure 4-1 — Article 50 Disclosure-Metadata Flow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4215104"/>
            <wp:docPr descr="Article 50 disclosure flow: five required fields feeding a four-of-five anonymization gate where four fields pass unchanged and only declaring-authority may transform to the value anonymized-deployer-class:product-organization."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7-article50-flow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51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4-1 — Article 50 Disclosure-Metadata Flow.</w:t>
      </w:r>
      <w:r>
        <w:rPr>
          <w:rFonts w:ascii="Calibri" w:hAnsi="Calibri"/>
        </w:rPr>
        <w:t xml:space="preserve"> The disclosure block has exactly five required fields; under the 4-of-5 anonymization rule, four survive unchanged and only </w:t>
      </w:r>
      <w:r>
        <w:rPr>
          <w:rFonts w:ascii="Consolas" w:hAnsi="Consolas"/>
          <w:sz w:val="20"/>
        </w:rPr>
        <w:t>declaring-authority</w:t>
      </w:r>
      <w:r>
        <w:rPr>
          <w:rFonts w:ascii="Calibri" w:hAnsi="Calibri"/>
        </w:rPr>
        <w:t xml:space="preserve"> may transform.</w:t>
      </w:r>
    </w:p>
    <w:p>
      <w:r>
        <w:rPr>
          <w:b/>
        </w:rPr>
        <w:t>Full description.</w:t>
      </w:r>
      <w:r>
        <w:rPr>
          <w:rFonts w:ascii="Calibri" w:hAnsi="Calibri"/>
        </w:rPr>
        <w:t xml:space="preserve"> The Article 50 disclosure block has exactly five required fields: </w:t>
      </w:r>
      <w:r>
        <w:rPr>
          <w:rFonts w:ascii="Consolas" w:hAnsi="Consolas"/>
          <w:sz w:val="20"/>
        </w:rPr>
        <w:t>declaring-authority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ai-system-identity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jurisdictional-applicability-tag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content-type-tag</w:t>
      </w:r>
      <w:r>
        <w:rPr>
          <w:rFonts w:ascii="Calibri" w:hAnsi="Calibri"/>
        </w:rPr>
        <w:t xml:space="preserve">, and </w:t>
      </w:r>
      <w:r>
        <w:rPr>
          <w:rFonts w:ascii="Consolas" w:hAnsi="Consolas"/>
          <w:sz w:val="20"/>
        </w:rPr>
        <w:t>generation-timestamp</w:t>
      </w:r>
      <w:r>
        <w:rPr>
          <w:rFonts w:ascii="Calibri" w:hAnsi="Calibri"/>
        </w:rPr>
        <w:t xml:space="preserve">. Two fields carry controlled vocabularies: </w:t>
      </w:r>
      <w:r>
        <w:rPr>
          <w:rFonts w:ascii="Consolas" w:hAnsi="Consolas"/>
          <w:sz w:val="20"/>
        </w:rPr>
        <w:t>jurisdictional-applicability-tag</w:t>
      </w:r>
      <w:r>
        <w:rPr>
          <w:rFonts w:ascii="Calibri" w:hAnsi="Calibri"/>
        </w:rPr>
        <w:t xml:space="preserve"> takes a value from </w:t>
      </w:r>
      <w:r>
        <w:rPr>
          <w:rFonts w:ascii="Consolas" w:hAnsi="Consolas"/>
          <w:sz w:val="20"/>
        </w:rPr>
        <w:t>{eu, us-federal, us-delaware, uk, israel, other:&lt;jurisdiction&gt;}</w:t>
      </w:r>
      <w:r>
        <w:rPr>
          <w:rFonts w:ascii="Calibri" w:hAnsi="Calibri"/>
        </w:rPr>
        <w:t xml:space="preserve"> — and when </w:t>
      </w:r>
      <w:r>
        <w:rPr>
          <w:rFonts w:ascii="Consolas" w:hAnsi="Consolas"/>
          <w:sz w:val="20"/>
        </w:rPr>
        <w:t>eu</w:t>
      </w:r>
      <w:r>
        <w:rPr>
          <w:rFonts w:ascii="Calibri" w:hAnsi="Calibri"/>
        </w:rPr>
        <w:t xml:space="preserve"> is present, or an </w:t>
      </w:r>
      <w:r>
        <w:rPr>
          <w:rFonts w:ascii="Consolas" w:hAnsi="Consolas"/>
          <w:sz w:val="20"/>
        </w:rPr>
        <w:t>other:</w:t>
      </w:r>
      <w:r>
        <w:rPr>
          <w:rFonts w:ascii="Calibri" w:hAnsi="Calibri"/>
        </w:rPr>
        <w:t xml:space="preserve"> value cannot exclude EU persons, full Article 50 disclosure is mandatory; </w:t>
      </w:r>
      <w:r>
        <w:rPr>
          <w:rFonts w:ascii="Consolas" w:hAnsi="Consolas"/>
          <w:sz w:val="20"/>
        </w:rPr>
        <w:t>content-type-tag</w:t>
      </w:r>
      <w:r>
        <w:rPr>
          <w:rFonts w:ascii="Calibri" w:hAnsi="Calibri"/>
        </w:rPr>
        <w:t xml:space="preserve"> takes a value from </w:t>
      </w:r>
      <w:r>
        <w:rPr>
          <w:rFonts w:ascii="Consolas" w:hAnsi="Consolas"/>
          <w:sz w:val="20"/>
        </w:rPr>
        <w:t>{decision-summary, recommendation, decision-aid, draft, classification, synthetic-media, other:&lt;type&gt;}</w:t>
      </w:r>
      <w:r>
        <w:rPr>
          <w:rFonts w:ascii="Calibri" w:hAnsi="Calibri"/>
        </w:rPr>
        <w:t xml:space="preserve">. Under the four-of-five anonymization rule, four fields survive anonymization unchanged and only </w:t>
      </w:r>
      <w:r>
        <w:rPr>
          <w:rFonts w:ascii="Consolas" w:hAnsi="Consolas"/>
          <w:sz w:val="20"/>
        </w:rPr>
        <w:t>declaring-authority</w:t>
      </w:r>
      <w:r>
        <w:rPr>
          <w:rFonts w:ascii="Calibri" w:hAnsi="Calibri"/>
        </w:rPr>
        <w:t xml:space="preserve"> may transform to the value </w:t>
      </w:r>
      <w:r>
        <w:rPr>
          <w:rFonts w:ascii="Consolas" w:hAnsi="Consolas"/>
          <w:sz w:val="20"/>
        </w:rPr>
        <w:t>anonymized-deployer-class:product-organization</w:t>
      </w:r>
      <w:r>
        <w:rPr>
          <w:rFonts w:ascii="Calibri" w:hAnsi="Calibri"/>
        </w:rPr>
        <w:t>. That value is a frozen controlled-vocabulary enum token and is rendered byte-identical; it contains the substring "product-organization" but is not framing text. Lacking any of the five fields makes the record non-conformant at Level 2 or above.</w:t>
      </w:r>
    </w:p>
    <w:p>
      <w:r>
        <w:rPr>
          <w:i/>
        </w:rPr>
        <w:t>Illustrates §4.6.2, §4.6.3.</w:t>
      </w:r>
    </w:p>
    <w:p>
      <w:pPr>
        <w:pBdr>
          <w:bottom w:val="single" w:sz="6" w:space="1" w:color="D1D5DB"/>
        </w:pBdr>
      </w:pPr>
    </w:p>
    <w:p>
      <w:pPr>
        <w:pStyle w:val="Heading3"/>
      </w:pPr>
      <w:r>
        <w:rPr>
          <w:rFonts w:ascii="Calibri" w:hAnsi="Calibri"/>
        </w:rPr>
        <w:t>Figure 4-2 — Mode-Drift Four-Layer Composed Mitigation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5200650"/>
            <wp:docPr descr="Mode-drift mitigation as a four-row matrix of orthogonal layers by Layer, Actor, Detection moment, and Coverage, plus a phased Layer 1 rollout timeline strip."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5-mode-drif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0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4-2 — Mode-Drift Four-Layer Composed Mitigation.</w:t>
      </w:r>
      <w:r>
        <w:rPr>
          <w:rFonts w:ascii="Calibri" w:hAnsi="Calibri"/>
        </w:rPr>
        <w:t xml:space="preserve"> Four orthogonal mitigation layers — no two sharing an actor or a detection moment — plus a phased Layer 1 rollout, structurally closing R-001.</w:t>
      </w:r>
    </w:p>
    <w:p>
      <w:r>
        <w:rPr>
          <w:b/>
        </w:rPr>
        <w:t>Full description.</w:t>
      </w:r>
      <w:r>
        <w:rPr>
          <w:rFonts w:ascii="Calibri" w:hAnsi="Calibri"/>
        </w:rPr>
        <w:t xml:space="preserve"> The Mode-Drift mitigation composes four orthogonal layers, no two sharing an actor or a detection moment. Layer 1, statistical detection, is run by an independent classifier on a disjoint corpus at a post-close population-sampling moment; its coverage is a 15% baseline, up to 100% on the first hundred records, and 30% on embedded-summary Charters, and it routes drift candidates above the </w:t>
      </w:r>
      <w:r>
        <w:rPr>
          <w:rFonts w:ascii="Consolas" w:hAnsi="Consolas"/>
          <w:sz w:val="20"/>
        </w:rPr>
        <w:t>0.75 confidence threshold</w:t>
      </w:r>
      <w:r>
        <w:rPr>
          <w:rFonts w:ascii="Calibri" w:hAnsi="Calibri"/>
        </w:rPr>
        <w:t xml:space="preserve"> to Layer 3. Layer 2, the in-flow audit hook, is run by the original declaring authority as a record-close hard gate, covering 100 percent of Mode-1 records through a four-question Substantive-Authorship Challenge (Q1–Q4); any non-Yes answer routes to Layer 3 and blocks </w:t>
      </w:r>
      <w:r>
        <w:rPr>
          <w:rFonts w:ascii="Consolas" w:hAnsi="Consolas"/>
          <w:sz w:val="20"/>
        </w:rPr>
        <w:t>closed</w:t>
      </w:r>
      <w:r>
        <w:rPr>
          <w:rFonts w:ascii="Calibri" w:hAnsi="Calibri"/>
        </w:rPr>
        <w:t xml:space="preserve">. Layer 3, the Mode-Confirmation Audit primitive, is run by a designated peer reviewer drawn from the </w:t>
      </w:r>
      <w:r>
        <w:rPr>
          <w:rFonts w:ascii="Consolas" w:hAnsi="Consolas"/>
          <w:sz w:val="20"/>
        </w:rPr>
        <w:t>peer_reviewer_pool</w:t>
      </w:r>
      <w:r>
        <w:rPr>
          <w:rFonts w:ascii="Calibri" w:hAnsi="Calibri"/>
        </w:rPr>
        <w:t xml:space="preserve"> (at least three named, not the original author) at the </w:t>
      </w:r>
      <w:r>
        <w:rPr>
          <w:rFonts w:ascii="Consolas" w:hAnsi="Consolas"/>
          <w:sz w:val="20"/>
        </w:rPr>
        <w:t>review-required</w:t>
      </w:r>
      <w:r>
        <w:rPr>
          <w:rFonts w:ascii="Calibri" w:hAnsi="Calibri"/>
        </w:rPr>
        <w:t xml:space="preserve"> interrupt; it confirms, migrates, or demotes per §6.4 and is the only layer with authority to change Mode classification. Layer 4, the Named Human-Attestation Fallback, is bound at record close by a named attestor at 100 percent coverage through the </w:t>
      </w:r>
      <w:r>
        <w:rPr>
          <w:rFonts w:ascii="Consolas" w:hAnsi="Consolas"/>
          <w:sz w:val="20"/>
        </w:rPr>
        <w:t>mode_classification_attestation</w:t>
      </w:r>
      <w:r>
        <w:rPr>
          <w:rFonts w:ascii="Calibri" w:hAnsi="Calibri"/>
        </w:rPr>
        <w:t xml:space="preserve"> object. The two composition axes are actor-independence and detection-moment-independence; the combined false-negative is bounded by the product of layer rates and the false-positive is bounded by Layer 3's peer gate. Layer 1 rolls out in phases: detection-only in weeks 1–3 (corpus A + B), detection-only in weeks 4–6 (corpus C adversarial), and enforcement from week 7 onward with full firing authority for </w:t>
      </w:r>
      <w:r>
        <w:rPr>
          <w:rFonts w:ascii="Consolas" w:hAnsi="Consolas"/>
          <w:sz w:val="20"/>
        </w:rPr>
        <w:t>no_silent_mode_drift_in_sample</w:t>
      </w:r>
      <w:r>
        <w:rPr>
          <w:rFonts w:ascii="Calibri" w:hAnsi="Calibri"/>
        </w:rPr>
        <w:t>. R-001 closes on day one because Layers 2, 3, and 4 are live on day one; Layer 1 adds population-level signal from week 7.</w:t>
      </w:r>
    </w:p>
    <w:p>
      <w:r>
        <w:rPr>
          <w:i/>
        </w:rPr>
        <w:t>Illustrates §4.8.1.</w:t>
      </w:r>
    </w:p>
    <w:p>
      <w:pPr>
        <w:pBdr>
          <w:bottom w:val="single" w:sz="6" w:space="1" w:color="D1D5DB"/>
        </w:pBdr>
      </w:pPr>
    </w:p>
    <w:p>
      <w:pPr>
        <w:pStyle w:val="Heading3"/>
      </w:pPr>
      <w:r>
        <w:rPr>
          <w:rFonts w:ascii="Calibri" w:hAnsi="Calibri"/>
        </w:rPr>
        <w:t>Figure 4-3 — Emission-Cadence by Semantic Class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405299" cy="7772400"/>
            <wp:docPr descr="Emission-cadence as a three-row temporal strip: Level 1 signals fire at Charter-state events, Level 2 signals split into per-record and audit-cadence firing, Level 3 signals fire continuously."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-emission-cadenc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5299" cy="777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4-3 — Emission-Cadence by Semantic Class.</w:t>
      </w:r>
      <w:r>
        <w:rPr>
          <w:rFonts w:ascii="Calibri" w:hAnsi="Calibri"/>
        </w:rPr>
        <w:t xml:space="preserve"> Signal emission frequency is matched to the rate at which each signal's truth can actually change.</w:t>
      </w:r>
    </w:p>
    <w:p>
      <w:r>
        <w:rPr>
          <w:b/>
        </w:rPr>
        <w:t>Full description.</w:t>
      </w:r>
      <w:r>
        <w:rPr>
          <w:rFonts w:ascii="Calibri" w:hAnsi="Calibri"/>
        </w:rPr>
        <w:t xml:space="preserve"> Conformance signals fire on a cadence matched to how fast their truth can change. The six Level 1 signals fire at Charter </w:t>
      </w:r>
      <w:r>
        <w:rPr>
          <w:rFonts w:ascii="Consolas" w:hAnsi="Consolas"/>
          <w:sz w:val="20"/>
        </w:rPr>
        <w:t>fields-completed</w:t>
      </w:r>
      <w:r>
        <w:rPr>
          <w:rFonts w:ascii="Calibri" w:hAnsi="Calibri"/>
        </w:rPr>
        <w:t xml:space="preserve"> and mode-migration events, because their truth value cannot change between Charter-state events. The thirteen Level 2 signals split into per-record signals that fire at record </w:t>
      </w:r>
      <w:r>
        <w:rPr>
          <w:rFonts w:ascii="Consolas" w:hAnsi="Consolas"/>
          <w:sz w:val="20"/>
        </w:rPr>
        <w:t>closed</w:t>
      </w:r>
      <w:r>
        <w:rPr>
          <w:rFonts w:ascii="Calibri" w:hAnsi="Calibri"/>
        </w:rPr>
        <w:t xml:space="preserve"> and sample-level signals — </w:t>
      </w:r>
      <w:r>
        <w:rPr>
          <w:rFonts w:ascii="Consolas" w:hAnsi="Consolas"/>
          <w:sz w:val="20"/>
        </w:rPr>
        <w:t>no_silent_mode_drift_in_sample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no_passive_promotion_to_affirmed_in_sample</w:t>
      </w:r>
      <w:r>
        <w:rPr>
          <w:rFonts w:ascii="Calibri" w:hAnsi="Calibri"/>
        </w:rPr>
        <w:t>, redaction-attestation, and altitude-consent — that fire on an audit cadence of 15% rolling with first-100 and 30%-embedded-summary overrides. The four Level 3 signals fire at every state transition and on scheduled reporter runs, being continuously auditable by definition. The displayed v5.1.0 substrate count is 23 signals (6 Level 1 + 13 Level 2 + 4 Level 3); this count is newer than the manifest's 21-token snapshot and is flagged for cross-stream reconciliation rather than asserted as final.</w:t>
      </w:r>
    </w:p>
    <w:p>
      <w:r>
        <w:rPr>
          <w:i/>
        </w:rPr>
        <w:t>Illustrates §4.8.2.</w:t>
      </w:r>
    </w:p>
    <w:p>
      <w:pPr>
        <w:pBdr>
          <w:bottom w:val="single" w:sz="6" w:space="1" w:color="D1D5DB"/>
        </w:pBdr>
      </w:pPr>
    </w:p>
    <w:p>
      <w:pPr>
        <w:pStyle w:val="Heading3"/>
      </w:pPr>
      <w:r>
        <w:rPr>
          <w:rFonts w:ascii="Calibri" w:hAnsi="Calibri"/>
        </w:rPr>
        <w:t>Figure 5-1 — Decision-Record State Machine: Two Distinct State Families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3419086"/>
            <wp:docPr descr="Decision-record state machine drawn as two visually separate lanes: Family A schema dispatch states dispatched, drafted, closed with a review-required interrupt and re-opened-with-mode-migration loop; Family B lifecycle states draft, reviewed, affirmed."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3-record-state-machin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90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5-1 — Decision-Record State Machine: Two Distinct State Families.</w:t>
      </w:r>
      <w:r>
        <w:rPr>
          <w:rFonts w:ascii="Calibri" w:hAnsi="Calibri"/>
        </w:rPr>
        <w:t xml:space="preserve"> A decision record carries two deliberately distinct state families — schema dispatch and record lifecycle — that must not be conflated.</w:t>
      </w:r>
    </w:p>
    <w:p>
      <w:r>
        <w:rPr>
          <w:b/>
        </w:rPr>
        <w:t>Full description.</w:t>
      </w:r>
      <w:r>
        <w:rPr>
          <w:rFonts w:ascii="Calibri" w:hAnsi="Calibri"/>
        </w:rPr>
        <w:t xml:space="preserve"> A decision record carries two deliberately distinct state families that must not be conflated, drawn as two separate lanes. Family A is the schema dispatch workflow carried on the </w:t>
      </w:r>
      <w:r>
        <w:rPr>
          <w:rFonts w:ascii="Consolas" w:hAnsi="Consolas"/>
          <w:sz w:val="20"/>
        </w:rPr>
        <w:t>record_state</w:t>
      </w:r>
      <w:r>
        <w:rPr>
          <w:rFonts w:ascii="Calibri" w:hAnsi="Calibri"/>
        </w:rPr>
        <w:t xml:space="preserve"> field: </w:t>
      </w:r>
      <w:r>
        <w:rPr>
          <w:rFonts w:ascii="Consolas" w:hAnsi="Consolas"/>
          <w:sz w:val="20"/>
        </w:rPr>
        <w:t>dispatched</w:t>
      </w:r>
      <w:r>
        <w:rPr>
          <w:rFonts w:ascii="Calibri" w:hAnsi="Calibri"/>
        </w:rPr>
        <w:t xml:space="preserve">, then </w:t>
      </w:r>
      <w:r>
        <w:rPr>
          <w:rFonts w:ascii="Consolas" w:hAnsi="Consolas"/>
          <w:sz w:val="20"/>
        </w:rPr>
        <w:t>drafted</w:t>
      </w:r>
      <w:r>
        <w:rPr>
          <w:rFonts w:ascii="Calibri" w:hAnsi="Calibri"/>
        </w:rPr>
        <w:t xml:space="preserve">, then </w:t>
      </w:r>
      <w:r>
        <w:rPr>
          <w:rFonts w:ascii="Consolas" w:hAnsi="Consolas"/>
          <w:sz w:val="20"/>
        </w:rPr>
        <w:t>closed</w:t>
      </w:r>
      <w:r>
        <w:rPr>
          <w:rFonts w:ascii="Calibri" w:hAnsi="Calibri"/>
        </w:rPr>
        <w:t xml:space="preserve">, with a </w:t>
      </w:r>
      <w:r>
        <w:rPr>
          <w:rFonts w:ascii="Consolas" w:hAnsi="Consolas"/>
          <w:sz w:val="20"/>
        </w:rPr>
        <w:t>review-required</w:t>
      </w:r>
      <w:r>
        <w:rPr>
          <w:rFonts w:ascii="Calibri" w:hAnsi="Calibri"/>
        </w:rPr>
        <w:t xml:space="preserve"> interrupt branching off </w:t>
      </w:r>
      <w:r>
        <w:rPr>
          <w:rFonts w:ascii="Consolas" w:hAnsi="Consolas"/>
          <w:sz w:val="20"/>
        </w:rPr>
        <w:t>drafted</w:t>
      </w:r>
      <w:r>
        <w:rPr>
          <w:rFonts w:ascii="Calibri" w:hAnsi="Calibri"/>
        </w:rPr>
        <w:t xml:space="preserve"> and a </w:t>
      </w:r>
      <w:r>
        <w:rPr>
          <w:rFonts w:ascii="Consolas" w:hAnsi="Consolas"/>
          <w:sz w:val="20"/>
        </w:rPr>
        <w:t>re-opened-with-mode-migration</w:t>
      </w:r>
      <w:r>
        <w:rPr>
          <w:rFonts w:ascii="Calibri" w:hAnsi="Calibri"/>
        </w:rPr>
        <w:t xml:space="preserve"> path that loops from </w:t>
      </w:r>
      <w:r>
        <w:rPr>
          <w:rFonts w:ascii="Consolas" w:hAnsi="Consolas"/>
          <w:sz w:val="20"/>
        </w:rPr>
        <w:t>review-required</w:t>
      </w:r>
      <w:r>
        <w:rPr>
          <w:rFonts w:ascii="Calibri" w:hAnsi="Calibri"/>
        </w:rPr>
        <w:t xml:space="preserve"> back to </w:t>
      </w:r>
      <w:r>
        <w:rPr>
          <w:rFonts w:ascii="Consolas" w:hAnsi="Consolas"/>
          <w:sz w:val="20"/>
        </w:rPr>
        <w:t>drafted</w:t>
      </w:r>
      <w:r>
        <w:rPr>
          <w:rFonts w:ascii="Calibri" w:hAnsi="Calibri"/>
        </w:rPr>
        <w:t xml:space="preserve">. This is the only place </w:t>
      </w:r>
      <w:r>
        <w:rPr>
          <w:rFonts w:ascii="Consolas" w:hAnsi="Consolas"/>
          <w:sz w:val="20"/>
        </w:rPr>
        <w:t>review-required</w:t>
      </w:r>
      <w:r>
        <w:rPr>
          <w:rFonts w:ascii="Calibri" w:hAnsi="Calibri"/>
        </w:rPr>
        <w:t xml:space="preserve"> legitimately appears; it is not a Charter state (contrast Figure 3-1). Family B is the record lifecycle, rendered as a separate track: </w:t>
      </w:r>
      <w:r>
        <w:rPr>
          <w:rFonts w:ascii="Consolas" w:hAnsi="Consolas"/>
          <w:sz w:val="20"/>
        </w:rPr>
        <w:t>draft</w:t>
      </w:r>
      <w:r>
        <w:rPr>
          <w:rFonts w:ascii="Calibri" w:hAnsi="Calibri"/>
        </w:rPr>
        <w:t xml:space="preserve">, then </w:t>
      </w:r>
      <w:r>
        <w:rPr>
          <w:rFonts w:ascii="Consolas" w:hAnsi="Consolas"/>
          <w:sz w:val="20"/>
        </w:rPr>
        <w:t>reviewed</w:t>
      </w:r>
      <w:r>
        <w:rPr>
          <w:rFonts w:ascii="Calibri" w:hAnsi="Calibri"/>
        </w:rPr>
        <w:t xml:space="preserve">, then </w:t>
      </w:r>
      <w:r>
        <w:rPr>
          <w:rFonts w:ascii="Consolas" w:hAnsi="Consolas"/>
          <w:sz w:val="20"/>
        </w:rPr>
        <w:t>affirmed</w:t>
      </w:r>
      <w:r>
        <w:rPr>
          <w:rFonts w:ascii="Calibri" w:hAnsi="Calibri"/>
        </w:rPr>
        <w:t xml:space="preserve">. Family B is not a separate enum field — </w:t>
      </w:r>
      <w:r>
        <w:rPr>
          <w:rFonts w:ascii="Consolas" w:hAnsi="Consolas"/>
          <w:sz w:val="20"/>
        </w:rPr>
        <w:t>affirmed</w:t>
      </w:r>
      <w:r>
        <w:rPr>
          <w:rFonts w:ascii="Calibri" w:hAnsi="Calibri"/>
        </w:rPr>
        <w:t xml:space="preserve"> is reached when </w:t>
      </w:r>
      <w:r>
        <w:rPr>
          <w:rFonts w:ascii="Consolas" w:hAnsi="Consolas"/>
          <w:sz w:val="20"/>
        </w:rPr>
        <w:t>affirmation_record</w:t>
      </w:r>
      <w:r>
        <w:rPr>
          <w:rFonts w:ascii="Calibri" w:hAnsi="Calibri"/>
        </w:rPr>
        <w:t xml:space="preserve"> and </w:t>
      </w:r>
      <w:r>
        <w:rPr>
          <w:rFonts w:ascii="Consolas" w:hAnsi="Consolas"/>
          <w:sz w:val="20"/>
        </w:rPr>
        <w:t>seal_hash</w:t>
      </w:r>
      <w:r>
        <w:rPr>
          <w:rFonts w:ascii="Calibri" w:hAnsi="Calibri"/>
        </w:rPr>
        <w:t xml:space="preserve"> are populated per §5.1(3), and the record is sealed simultaneously. The past-tense schema state </w:t>
      </w:r>
      <w:r>
        <w:rPr>
          <w:rFonts w:ascii="Consolas" w:hAnsi="Consolas"/>
          <w:sz w:val="20"/>
        </w:rPr>
        <w:t>drafted</w:t>
      </w:r>
      <w:r>
        <w:rPr>
          <w:rFonts w:ascii="Calibri" w:hAnsi="Calibri"/>
        </w:rPr>
        <w:t xml:space="preserve"> (Family A) is distinct from the lifecycle state </w:t>
      </w:r>
      <w:r>
        <w:rPr>
          <w:rFonts w:ascii="Consolas" w:hAnsi="Consolas"/>
          <w:sz w:val="20"/>
        </w:rPr>
        <w:t>draft</w:t>
      </w:r>
      <w:r>
        <w:rPr>
          <w:rFonts w:ascii="Calibri" w:hAnsi="Calibri"/>
        </w:rPr>
        <w:t xml:space="preserve"> (Family B); conflating them is a conformance defect. Supersession is via </w:t>
      </w:r>
      <w:r>
        <w:rPr>
          <w:rFonts w:ascii="Consolas" w:hAnsi="Consolas"/>
          <w:sz w:val="20"/>
        </w:rPr>
        <w:t>supersedes</w:t>
      </w:r>
      <w:r>
        <w:rPr>
          <w:rFonts w:ascii="Calibri" w:hAnsi="Calibri"/>
        </w:rPr>
        <w:t xml:space="preserve">, with the original retained in full; sealing is via </w:t>
      </w:r>
      <w:r>
        <w:rPr>
          <w:rFonts w:ascii="Consolas" w:hAnsi="Consolas"/>
          <w:sz w:val="20"/>
        </w:rPr>
        <w:t>seal_hash</w:t>
      </w:r>
      <w:r>
        <w:rPr>
          <w:rFonts w:ascii="Calibri" w:hAnsi="Calibri"/>
        </w:rPr>
        <w:t>.</w:t>
      </w:r>
    </w:p>
    <w:p>
      <w:r>
        <w:rPr>
          <w:i/>
        </w:rPr>
        <w:t>Illustrates §5.1, §6.2.</w:t>
      </w:r>
    </w:p>
    <w:p>
      <w:pPr>
        <w:pBdr>
          <w:bottom w:val="single" w:sz="6" w:space="1" w:color="D1D5DB"/>
        </w:pBdr>
      </w:pPr>
    </w:p>
    <w:p>
      <w:pPr>
        <w:pStyle w:val="Heading3"/>
      </w:pPr>
      <w:r>
        <w:rPr>
          <w:rFonts w:ascii="Calibri" w:hAnsi="Calibri"/>
        </w:rPr>
        <w:t>Figure 6-1 — Artifact-Set Relationship Map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943600" cy="5200650"/>
            <wp:docPr descr="Artifact-set relationship map: a Charter governs a decision class, declares a Mode, commits a Schedule of Records, names accountable_owner, and declares conformance_level_declared; the Schedule enumerates five record-types; a Decision Record carries dispatch_mode and conditionally attaches an Article 50 Disclosure Block; Conformance Signals grade Conformance Levels; a one-way dashed pointer leads to the deploying organization's methodology."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6-artifact-se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0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6-1 — Artifact-Set Relationship Map.</w:t>
      </w:r>
      <w:r>
        <w:rPr>
          <w:rFonts w:ascii="Calibri" w:hAnsi="Calibri"/>
        </w:rPr>
        <w:t xml:space="preserve"> A one-picture orientation showing how the standard's artifacts compose before the reader reaches the normative prose.</w:t>
      </w:r>
    </w:p>
    <w:p>
      <w:r>
        <w:rPr>
          <w:b/>
        </w:rPr>
        <w:t>Full description.</w:t>
      </w:r>
      <w:r>
        <w:rPr>
          <w:rFonts w:ascii="Calibri" w:hAnsi="Calibri"/>
        </w:rPr>
        <w:t xml:space="preserve"> This orientation map shows how the standard's artifacts compose. A Charter governs a decision class, declares a Mode (Figure 3-2), commits a Schedule of Records, names an </w:t>
      </w:r>
      <w:r>
        <w:rPr>
          <w:rFonts w:ascii="Consolas" w:hAnsi="Consolas"/>
          <w:sz w:val="20"/>
        </w:rPr>
        <w:t>accountable_owner</w:t>
      </w:r>
      <w:r>
        <w:rPr>
          <w:rFonts w:ascii="Calibri" w:hAnsi="Calibri"/>
        </w:rPr>
        <w:t xml:space="preserve">, and declares a </w:t>
      </w:r>
      <w:r>
        <w:rPr>
          <w:rFonts w:ascii="Consolas" w:hAnsi="Consolas"/>
          <w:sz w:val="20"/>
        </w:rPr>
        <w:t>conformance_level_declared</w:t>
      </w:r>
      <w:r>
        <w:rPr>
          <w:rFonts w:ascii="Calibri" w:hAnsi="Calibri"/>
        </w:rPr>
        <w:t xml:space="preserve">. The Schedule of Records enumerates five required record types: Decision record, Re-decision record, Escalation record, Charter-amendment record, and Disclosure-review record (§6.3.1). A Decision Record is dispatched under a Charter, carries a </w:t>
      </w:r>
      <w:r>
        <w:rPr>
          <w:rFonts w:ascii="Consolas" w:hAnsi="Consolas"/>
          <w:sz w:val="20"/>
        </w:rPr>
        <w:t>dispatch_mode</w:t>
      </w:r>
      <w:r>
        <w:rPr>
          <w:rFonts w:ascii="Calibri" w:hAnsi="Calibri"/>
        </w:rPr>
        <w:t>, transits the record lifecycle (Figure 5-1), and conditionally attaches an Article 50 Disclosure Block (Figure 4-1) on Mode 2 and Mode-1 edge-case records. Conformance Signals are read off the Charter, record, lifecycle, and schedule (Figure 4-3) and grade the Conformance Levels (Figure 7-1). The standard points one-way, via a dashed neutral pointer, to the deploying organization's methodology; it does not depend on any named methodology and carries no branded node.</w:t>
      </w:r>
    </w:p>
    <w:p>
      <w:r>
        <w:rPr>
          <w:i/>
        </w:rPr>
        <w:t>Illustrates §3, §5, §6, §7 (orientation).</w:t>
      </w:r>
    </w:p>
    <w:p>
      <w:pPr>
        <w:pBdr>
          <w:bottom w:val="single" w:sz="6" w:space="1" w:color="D1D5DB"/>
        </w:pBdr>
      </w:pPr>
    </w:p>
    <w:p>
      <w:pPr>
        <w:pStyle w:val="Heading3"/>
      </w:pPr>
      <w:r>
        <w:rPr>
          <w:rFonts w:ascii="Calibri" w:hAnsi="Calibri"/>
        </w:rPr>
        <w:t>Figure 7-1 — The Three Conformance Levels: Cumulative Criteria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2916975" cy="7772400"/>
            <wp:docPr descr="Three conformance levels drawn as nested bands: Level 1 Charter-Conformant with seven criteria innermost, Level 2 Mode-Disambiguated with four criteria, Level 3 Continuously Auditable with four criteria, with a cumulative rule and a non-claim footer."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4-conformance-ladder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6975" cy="7772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b/>
        </w:rPr>
        <w:t>Figure 7-1 — The Three Conformance Levels: Cumulative Criteria.</w:t>
      </w:r>
      <w:r>
        <w:rPr>
          <w:rFonts w:ascii="Calibri" w:hAnsi="Calibri"/>
        </w:rPr>
        <w:t xml:space="preserve"> Three cumulative conformance levels drawn as nested bands; all are self-declared and the Steward does not certify, grade, or audit.</w:t>
      </w:r>
    </w:p>
    <w:p>
      <w:r>
        <w:rPr>
          <w:b/>
        </w:rPr>
        <w:t>Full description.</w:t>
      </w:r>
      <w:r>
        <w:rPr>
          <w:rFonts w:ascii="Calibri" w:hAnsi="Calibri"/>
        </w:rPr>
        <w:t xml:space="preserve"> The three conformance levels are cumulative, drawn as nested bands with Level 1 innermost. Level 1, Charter-Conformant (§7.2.1), has seven structural criteria: the Charter has reached the </w:t>
      </w:r>
      <w:r>
        <w:rPr>
          <w:rFonts w:ascii="Consolas" w:hAnsi="Consolas"/>
          <w:sz w:val="20"/>
        </w:rPr>
        <w:t>fields-completed</w:t>
      </w:r>
      <w:r>
        <w:rPr>
          <w:rFonts w:ascii="Calibri" w:hAnsi="Calibri"/>
        </w:rPr>
        <w:t xml:space="preserve"> lifecycle state; </w:t>
      </w:r>
      <w:r>
        <w:rPr>
          <w:rFonts w:ascii="Consolas" w:hAnsi="Consolas"/>
          <w:sz w:val="20"/>
        </w:rPr>
        <w:t>mode_declaration</w:t>
      </w:r>
      <w:r>
        <w:rPr>
          <w:rFonts w:ascii="Calibri" w:hAnsi="Calibri"/>
        </w:rPr>
        <w:t xml:space="preserve"> is populated with one of the three enumerated values (</w:t>
      </w:r>
      <w:r>
        <w:rPr>
          <w:rFonts w:ascii="Consolas" w:hAnsi="Consolas"/>
          <w:sz w:val="20"/>
        </w:rPr>
        <w:t>mode-1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mode-2</w:t>
      </w:r>
      <w:r>
        <w:rPr>
          <w:rFonts w:ascii="Calibri" w:hAnsi="Calibri"/>
        </w:rPr>
        <w:t xml:space="preserve">, </w:t>
      </w:r>
      <w:r>
        <w:rPr>
          <w:rFonts w:ascii="Consolas" w:hAnsi="Consolas"/>
          <w:sz w:val="20"/>
        </w:rPr>
        <w:t>mode-1-with-embedded-mode-2-summary</w:t>
      </w:r>
      <w:r>
        <w:rPr>
          <w:rFonts w:ascii="Calibri" w:hAnsi="Calibri"/>
        </w:rPr>
        <w:t xml:space="preserve">); the schedule of records is committed and non-empty; </w:t>
      </w:r>
      <w:r>
        <w:rPr>
          <w:rFonts w:ascii="Consolas" w:hAnsi="Consolas"/>
          <w:sz w:val="20"/>
        </w:rPr>
        <w:t>record_location</w:t>
      </w:r>
      <w:r>
        <w:rPr>
          <w:rFonts w:ascii="Calibri" w:hAnsi="Calibri"/>
        </w:rPr>
        <w:t xml:space="preserve"> resolves to a durable surface; </w:t>
      </w:r>
      <w:r>
        <w:rPr>
          <w:rFonts w:ascii="Consolas" w:hAnsi="Consolas"/>
          <w:sz w:val="20"/>
        </w:rPr>
        <w:t>accountable_owner</w:t>
      </w:r>
      <w:r>
        <w:rPr>
          <w:rFonts w:ascii="Calibri" w:hAnsi="Calibri"/>
        </w:rPr>
        <w:t xml:space="preserve"> names one human; </w:t>
      </w:r>
      <w:r>
        <w:rPr>
          <w:rFonts w:ascii="Consolas" w:hAnsi="Consolas"/>
          <w:sz w:val="20"/>
        </w:rPr>
        <w:t>re_decision_triggers</w:t>
      </w:r>
      <w:r>
        <w:rPr>
          <w:rFonts w:ascii="Calibri" w:hAnsi="Calibri"/>
        </w:rPr>
        <w:t xml:space="preserve"> meets the two-class minimum; and </w:t>
      </w:r>
      <w:r>
        <w:rPr>
          <w:rFonts w:ascii="Consolas" w:hAnsi="Consolas"/>
          <w:sz w:val="20"/>
        </w:rPr>
        <w:t>escalation_rule</w:t>
      </w:r>
      <w:r>
        <w:rPr>
          <w:rFonts w:ascii="Calibri" w:hAnsi="Calibri"/>
        </w:rPr>
        <w:t xml:space="preserve"> is populated with a named, exact trigger. Level 2, Mode-Disambiguated (§7.3.1), subsumes Level 1 and adds four record-discipline criteria: every decision record carries its </w:t>
      </w:r>
      <w:r>
        <w:rPr>
          <w:rFonts w:ascii="Consolas" w:hAnsi="Consolas"/>
          <w:sz w:val="20"/>
        </w:rPr>
        <w:t>dispatch_mode</w:t>
      </w:r>
      <w:r>
        <w:rPr>
          <w:rFonts w:ascii="Calibri" w:hAnsi="Calibri"/>
        </w:rPr>
        <w:t xml:space="preserve"> field; every Mode 2 record carries a complete Article 50 disclosure block of five fields (Figure 4-1); every Mode 1 edge-case record carries a per-record disclosure block at the embed point reading </w:t>
      </w:r>
      <w:r>
        <w:rPr>
          <w:rFonts w:ascii="Consolas" w:hAnsi="Consolas"/>
          <w:sz w:val="20"/>
        </w:rPr>
        <w:t>mode_1_edge_case_flag</w:t>
      </w:r>
      <w:r>
        <w:rPr>
          <w:rFonts w:ascii="Calibri" w:hAnsi="Calibri"/>
        </w:rPr>
        <w:t>; and the schedule-of-records sample audit returns no silent drift findings (</w:t>
      </w:r>
      <w:r>
        <w:rPr>
          <w:rFonts w:ascii="Consolas" w:hAnsi="Consolas"/>
          <w:sz w:val="20"/>
        </w:rPr>
        <w:t>no_silent_mode_drift_in_sample</w:t>
      </w:r>
      <w:r>
        <w:rPr>
          <w:rFonts w:ascii="Calibri" w:hAnsi="Calibri"/>
        </w:rPr>
        <w:t xml:space="preserve">). Level 3, Continuously Auditable (§7.4.1), subsumes Level 2 and adds four criteria: re-decision triggers fire and produce records on the declared cadence; the escalation rule produces records when invoked; disclosure metadata blocks carry a current </w:t>
      </w:r>
      <w:r>
        <w:rPr>
          <w:rFonts w:ascii="Consolas" w:hAnsi="Consolas"/>
          <w:sz w:val="20"/>
        </w:rPr>
        <w:t>last_reviewed_at</w:t>
      </w:r>
      <w:r>
        <w:rPr>
          <w:rFonts w:ascii="Calibri" w:hAnsi="Calibri"/>
        </w:rPr>
        <w:t xml:space="preserve"> per the review cadence; and the schedule of records is queryable and exportable for counsel and auditor review on demand. A Charter that does not grade at Level 1 cannot grade at Level 2 or 3. All levels are self-declared; the Steward does not certify, grade, or audit.</w:t>
      </w:r>
    </w:p>
    <w:p>
      <w:r>
        <w:rPr>
          <w:i/>
        </w:rPr>
        <w:t>Illustrates §7.2, §7.3, §7.4.</w:t>
      </w:r>
    </w:p>
    <w:p>
      <w:pPr>
        <w:pBdr>
          <w:bottom w:val="single" w:sz="6" w:space="1" w:color="D1D5DB"/>
        </w:pBdr>
      </w:pPr>
    </w:p>
    <w:p>
      <w:r>
        <w:rPr>
          <w:i/>
        </w:rPr>
        <w:t>End of Companion D.</w:t>
      </w:r>
    </w:p>
    <w:sectPr w:rsidR="00FC693F" w:rsidRPr="0006063C" w:rsidSect="00034616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60" w:line="300" w:lineRule="auto"/>
    </w:pPr>
    <w:rPr>
      <w:rFonts w:ascii="Calibri" w:hAnsi="Calibri"/>
      <w:color w:val="18181B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320" w:after="120"/>
      <w:outlineLvl w:val="0"/>
    </w:pPr>
    <w:rPr>
      <w:rFonts w:asciiTheme="majorHAnsi" w:eastAsiaTheme="majorEastAsia" w:hAnsiTheme="majorHAnsi" w:cstheme="majorBidi" w:ascii="Calibri" w:hAnsi="Calibri"/>
      <w:b/>
      <w:bCs/>
      <w:color w:val="18181B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320" w:after="120"/>
      <w:outlineLvl w:val="1"/>
    </w:pPr>
    <w:rPr>
      <w:rFonts w:asciiTheme="majorHAnsi" w:eastAsiaTheme="majorEastAsia" w:hAnsiTheme="majorHAnsi" w:cstheme="majorBidi" w:ascii="Calibri" w:hAnsi="Calibri"/>
      <w:b/>
      <w:bCs/>
      <w:color w:val="18181B"/>
      <w:sz w:val="3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 w:ascii="Calibri" w:hAnsi="Calibri"/>
      <w:b/>
      <w:bCs/>
      <w:color w:val="18181B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120"/>
      <w:outlineLvl w:val="3"/>
    </w:pPr>
    <w:rPr>
      <w:rFonts w:asciiTheme="majorHAnsi" w:eastAsiaTheme="majorEastAsia" w:hAnsiTheme="majorHAnsi" w:cstheme="majorBidi" w:ascii="Calibri" w:hAnsi="Calibri"/>
      <w:b/>
      <w:bCs/>
      <w:i/>
      <w:iCs/>
      <w:color w:val="18181B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